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23F15" w14:textId="13681EE0" w:rsidR="004A6447" w:rsidRDefault="006E333C" w:rsidP="002546A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6E333C">
        <w:rPr>
          <w:rFonts w:ascii="Times New Roman" w:hAnsi="Times New Roman" w:cs="Times New Roman"/>
          <w:sz w:val="28"/>
          <w:szCs w:val="28"/>
          <w:lang w:val="tt-RU"/>
        </w:rPr>
        <w:t xml:space="preserve">Быел бөек шагыйребез Габдулла Тукайның тууына 135 ел. Шул уңайдан балалар өчен махсус күп кенә чаралар планлаштырылды. Балаларның “Тукай геройлары минем янәшәмдә” рәсем күргәзмәсе эшли башлады. </w:t>
      </w:r>
    </w:p>
    <w:p w14:paraId="1C753B7D" w14:textId="2F45B9E1" w:rsidR="002546A3" w:rsidRDefault="002546A3" w:rsidP="002546A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p w14:paraId="49BE3E6E" w14:textId="20F8BC17" w:rsidR="002546A3" w:rsidRDefault="002546A3" w:rsidP="002546A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</w:rPr>
        <w:drawing>
          <wp:inline distT="0" distB="0" distL="0" distR="0" wp14:anchorId="28751650" wp14:editId="588CDEA1">
            <wp:extent cx="2562860" cy="3427740"/>
            <wp:effectExtent l="0" t="0" r="889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9906" cy="343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47F8C" w14:textId="66C80B7E" w:rsidR="002546A3" w:rsidRPr="006E333C" w:rsidRDefault="002546A3" w:rsidP="002546A3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noProof/>
        </w:rPr>
        <w:drawing>
          <wp:inline distT="0" distB="0" distL="0" distR="0" wp14:anchorId="236DC34E" wp14:editId="0DDAA305">
            <wp:extent cx="3294945" cy="35147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99795" cy="351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46A3" w:rsidRPr="006E3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47"/>
    <w:rsid w:val="002546A3"/>
    <w:rsid w:val="004A6447"/>
    <w:rsid w:val="006E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E7AC5"/>
  <w15:chartTrackingRefBased/>
  <w15:docId w15:val="{70AB2EC4-5779-4DC0-ADEB-23A38F6B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Гимадеева</dc:creator>
  <cp:keywords/>
  <dc:description/>
  <cp:lastModifiedBy>Гульшат Гимадеева</cp:lastModifiedBy>
  <cp:revision>5</cp:revision>
  <dcterms:created xsi:type="dcterms:W3CDTF">2021-04-12T11:24:00Z</dcterms:created>
  <dcterms:modified xsi:type="dcterms:W3CDTF">2021-04-12T12:06:00Z</dcterms:modified>
</cp:coreProperties>
</file>